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0" w:rsidRP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6A20">
        <w:rPr>
          <w:rFonts w:ascii="Times New Roman" w:eastAsia="Calibri" w:hAnsi="Times New Roman" w:cs="Times New Roman"/>
          <w:b/>
          <w:sz w:val="40"/>
          <w:szCs w:val="40"/>
        </w:rPr>
        <w:t>ДНЕВЕН РЕД ЗА ЗАСЕДАНИЕ НА ОИК – БАТАК НА 05.09.2015 г.</w:t>
      </w:r>
    </w:p>
    <w:p w:rsidR="00926A20" w:rsidRP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26A20" w:rsidRPr="00926A20" w:rsidRDefault="00926A20" w:rsidP="00926A20">
      <w:pPr>
        <w:ind w:firstLine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26A20" w:rsidRP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 начина на приемане на решенията на ОИК – Батак, обявяването им и тяхната номерация</w:t>
      </w: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 разпределяне на функциите между членовете на ОИК – Батак</w:t>
      </w:r>
    </w:p>
    <w:p w:rsidR="00926A20" w:rsidRPr="00926A20" w:rsidRDefault="00926A20" w:rsidP="00926A20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 определяне на специалист – експерт и специалист – технически сътрудник към ОИК – Батак</w:t>
      </w:r>
    </w:p>
    <w:p w:rsidR="00926A20" w:rsidRPr="00926A20" w:rsidRDefault="00926A20" w:rsidP="00926A2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 избор на член на ОИК – Батак, който заедно с председателя на комисията да маркират по уникален начин печата на комисията, начина за маркиране на печата  и съставяне на протокол за това</w:t>
      </w: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Разни</w:t>
      </w:r>
    </w:p>
    <w:p w:rsidR="00926A20" w:rsidRPr="00926A20" w:rsidRDefault="00926A20" w:rsidP="00926A2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Председател на ОИК – БАТАК:</w:t>
      </w: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Христина Домусчиева</w:t>
      </w:r>
    </w:p>
    <w:p w:rsidR="00E4512F" w:rsidRPr="00926A20" w:rsidRDefault="00E4512F">
      <w:pPr>
        <w:rPr>
          <w:b/>
          <w:sz w:val="28"/>
          <w:szCs w:val="28"/>
        </w:rPr>
      </w:pPr>
    </w:p>
    <w:sectPr w:rsidR="00E4512F" w:rsidRPr="00926A20" w:rsidSect="00E4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20"/>
    <w:rsid w:val="00926A20"/>
    <w:rsid w:val="00E4512F"/>
    <w:rsid w:val="00E8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20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2015-09-09T06:47:00Z</dcterms:created>
  <dcterms:modified xsi:type="dcterms:W3CDTF">2015-09-09T06:51:00Z</dcterms:modified>
</cp:coreProperties>
</file>